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6" w:rsidRDefault="00C74CF6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  <w:t>Příloha č. 1</w:t>
      </w:r>
    </w:p>
    <w:p w:rsidR="00C74CF6" w:rsidRDefault="00C74CF6">
      <w:pPr>
        <w:pStyle w:val="BodyText"/>
        <w:jc w:val="center"/>
        <w:rPr>
          <w:rFonts w:ascii="Times New Roman" w:hAnsi="Times New Roman" w:cs="Times New Roman"/>
          <w:b w:val="0"/>
          <w:bCs w:val="0"/>
          <w:smallCaps w:val="0"/>
          <w:snapToGrid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36"/>
          <w:szCs w:val="36"/>
        </w:rPr>
        <w:t>ZADÁNÍ PROJEKTOVÉ DOKUMENTACE</w:t>
      </w:r>
    </w:p>
    <w:p w:rsidR="00C74CF6" w:rsidRDefault="00C74CF6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  <w:t>REVITALIZACE VEŘEJNÝCH PLOCH MĚSTA LUBY - LOKALIT</w:t>
      </w:r>
    </w:p>
    <w:p w:rsidR="00C74CF6" w:rsidRDefault="00C74CF6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  <w:t>„ STARÉ PANELÁKY“  A  „NÁMĚSTÍČKO U KULTURÁKU  A LOKALITA U PILY“</w:t>
      </w:r>
    </w:p>
    <w:p w:rsidR="00C74CF6" w:rsidRDefault="00C74CF6">
      <w:pPr>
        <w:shd w:val="clear" w:color="auto" w:fill="FFFFFF"/>
        <w:spacing w:after="120" w:line="240" w:lineRule="auto"/>
        <w:jc w:val="center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8"/>
          <w:szCs w:val="28"/>
          <w:u w:val="single"/>
          <w:lang w:eastAsia="cs-CZ"/>
        </w:rPr>
      </w:pPr>
    </w:p>
    <w:p w:rsidR="00C74CF6" w:rsidRDefault="00C74CF6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  <w:t>OBECNĚ: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Zadání je jedním z podkladů pro zveřejnění výzvy k podání nabídek na zpracování projektové dokumentace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0"/>
          <w:lang w:eastAsia="en-US"/>
        </w:rPr>
        <w:t>pro stavební řízení a realizaci staveb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revitalizace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veřejných ploch města Luby v lokalitě  „Staré paneláky“,  „Náměstíčko u kulturáku a lokalita „U pily“.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PODKLADY: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 xml:space="preserve">Podkladem pro zpracování projektové dokumentace je katastrální mapa dotčeného území, Územní plán města Luby a studie „Revitalizace veřejných ploch města Luby“, zpracovaná  společností A69 - architekti, s.r.o. z  29.7.2016, dále pak vlastní zadání a v průběhu zpracování dokumentace pak samotné projednání návrhů řešení se zadavatelem na kontrolních dnech projektové dokumentace. 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Další podklady budou zajištěny zpracovatelem PD, jako jsou zákresy průběhů stávajících inženýrských sítí, geodetické zaměření polohopisu a výškopisu v nezbytném rozsahu pro zpracování projektové dokumentace, dendrologický průzkum a návrh sadových a parkových úprav. Podkladem jsou dostupné doklady všech správců sítí, podklady a informace správců provozovatelů města Luby ke stávajícímu veřejnému osvětlení a ke stávající dešťové kanalizaci v řešených lokalitách.</w:t>
      </w:r>
    </w:p>
    <w:p w:rsidR="00C74CF6" w:rsidRDefault="00C74CF6">
      <w:pPr>
        <w:pStyle w:val="Heading2"/>
        <w:spacing w:after="12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0"/>
          <w:szCs w:val="2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ŘEŠENÉ ÚZEMÍ:</w:t>
      </w:r>
    </w:p>
    <w:p w:rsidR="00C74CF6" w:rsidRDefault="00C74CF6">
      <w:pPr>
        <w:shd w:val="clear" w:color="auto" w:fill="FFFFFF"/>
        <w:spacing w:after="120" w:line="240" w:lineRule="auto"/>
        <w:jc w:val="both"/>
        <w:outlineLvl w:val="0"/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16"/>
          <w:szCs w:val="16"/>
          <w:u w:val="single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kern w:val="36"/>
          <w:sz w:val="24"/>
          <w:szCs w:val="24"/>
          <w:lang w:eastAsia="cs-CZ"/>
        </w:rPr>
        <w:t xml:space="preserve">Řešené území v lokalitách je specifikováno ve vlastní studii, která je přílohou č. 2 na CD a dále upřesněním v příloze č. 3 k zadání. Dotčené pozemky jsou v k.ú. Luby a jsou ve vlastnictví města Luby, projektová dokumentace předpokládá navázání řešených ploch na pozemky soukromých vlastníků na základě projednání řešení a jejich souhlasu k navrženému řešení.  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 xml:space="preserve">ROZSAH DOKUMENTACE </w:t>
      </w:r>
    </w:p>
    <w:p w:rsidR="00C74CF6" w:rsidRDefault="00C74CF6">
      <w:pPr>
        <w:pStyle w:val="BodyText"/>
        <w:rPr>
          <w:rFonts w:ascii="Times New Roman" w:eastAsia="Arial Unicode MS" w:hAnsi="Times New Roman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Dokumentace budou zpracovány samostatně pro lokalitu „Staré paneláky“ a pro lokalitu „Náměstíčko u kulturáku  a lokalita „U pily“ v rozsahu stanoveném vyhl. č. 499/2006 Sb. a jejími přílohami a vyhláškou č.146/2008 Sb. o rozsahu a obsahu projektové dokumentace dopravních staveb.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 xml:space="preserve">Projektová dokumentace bude zpracovatelem projednána s dotčenými orgány státní správy a dalšími účastníky územního a stavebního řízení, zpracovatelem budou sepsány a podány žádosti o územní rozhodnutí a o stavební povolení a to včetně nezbytných příloh, podkladů pro vodoprávní řízení k rozšíření stávající sítě stok dešťové kanalizace vč. přípojek k uličním vpustím. 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 xml:space="preserve">K tomuto jednání vystaví zadavatel zpracovateli plnou moc v potřebném rozsahu. 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Projektové dokumentace budou obsahovat a součástí nabídky bude či budou: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 xml:space="preserve">geodetické zaměření polohopisu a výškopisu v zastavěném území v nezbytném rozsahu pro zpracování projektové dokumentace dle zadání - mapový podklad pro projekt,  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ověření stavu dešťové kanalizace – revizi kamerovým způsobem se záznamem,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průzkumy a rozbory – rešerše stávajících podzemních inženýrských sítí,</w:t>
      </w:r>
    </w:p>
    <w:p w:rsidR="00C74CF6" w:rsidRDefault="00C74CF6">
      <w:pPr>
        <w:pStyle w:val="BodyText"/>
        <w:ind w:left="360" w:hanging="360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-   dokumentace lokalit „Staré paneláky“ a „Náměstíčko u kulturáku a lokalita „U pily“ s řešením komunikací, parkovacích stání, chodníků, prostorů pro tříděný odpad, dále i včetně parkových úprav, uličního mobiliáře, gabionových zídek, veřejného osvětlení, rezervy pro optickou síť uložením chrániček HDPE v souběhu s VO a dešťové kanalizace k odvodnění komunikací v uvedených lokalitách. Dokumentace bude řešit odstranění staveb skladu PB lahví. Povrchy komunikací, parkovacích stání a chodníků budou řešeny a navrženy v materiálech shodných se studií „Revitalizace veřejných ploch měst Luby“. Dokumentace bude respektovat stávající sjezdy na přilehlé pozemky a bude v lokalitách řešena dopravně  jako obytná zóna s případným zjednosměrněním komunikací, dokumentace bude obsahovat návrh svislého dopravního značení projednaného s PČR DI,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položkové rozpočty a výkazy výměr k dokumentacím po jednotlivých lokalitách  včetně profesí a sadových úprav  a zeleně v lokalitách  „Staré paneláky“ a „Náměstíčko u kulturáku a lokalita u pily“,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návrh úpravy fasády objektu kotelny v lokalitě  „Náměstíčko u kulturáku“,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řešení venkovního schodiště k přístupu na nádraží v lokalitě u pily.</w:t>
      </w:r>
    </w:p>
    <w:p w:rsidR="00C74CF6" w:rsidRDefault="00C74CF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zpracování dendrologického průzkumu a inventarizace dřevin, který je podmínkou jakéhokoliv zásahu do veřejné zeleně, jejíž ochrana je zakotvena v zákoně č. 114/1992 Sb., o ochraně přírody a krajiny. Dendrologický průzkum bude tvořit nedílnou součást projektové dokumentace  pro územní řízení a stavební povolení obou staveb. Součástí bude návrh náhradních výsadeb, sadovnické úpravy, plán péče o dřeviny a popř. i pěstební opatření u zachovaných dřevin v lokalitách „Staré paneláky“ a  „Náměstíčko u kulturáku a lokalita u pily“,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  <w:sz w:val="10"/>
          <w:szCs w:val="10"/>
        </w:rPr>
      </w:pP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  <w:color w:val="FF0000"/>
          <w:highlight w:val="yellow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TERMÍNY PRO ZPRACOVÁNÍ PROJEKTOVÝCH DOKUMENTACÍ „Lokalita Staré paneláky“  a  „Náměstíčko u kulturáku a náměstíčko „U pily“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Geodetické zaměření výškopisu a polohopisu a rešerše podz. inž. sítí do 1.11.2017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Protokol  o ověření stavu dešťové kanalizace v řešených lokalitách do 1.11.2017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Dendrologický průzkum a návrh na sadové úpravy do 1.11.2017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PD v rozsahu  DUR do 20.12.2017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PD v rozsahu  DSP do 7.3.2018</w:t>
      </w:r>
    </w:p>
    <w:p w:rsidR="00C74CF6" w:rsidRDefault="00C74CF6">
      <w:pPr>
        <w:pStyle w:val="NoSpacing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>PD ve stupni DPS vč. vč. výkazů výměr a rozpočtů do 6.6.2018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</w:rPr>
        <w:t>Zpracovatel bude se zadavatelem spolupracovat při jednáních s dotčenými vlastníky sousedních dotčených nemovitostí a pozemků s účastí na těchto jednáních a přípravou podkladů pro tato jednání.</w:t>
      </w:r>
    </w:p>
    <w:p w:rsidR="00C74CF6" w:rsidRDefault="00C74CF6">
      <w:pPr>
        <w:pStyle w:val="BodyText"/>
        <w:rPr>
          <w:rFonts w:ascii="Times New Roman" w:hAnsi="Times New Roman" w:cs="Times New Roman"/>
          <w:b w:val="0"/>
          <w:bCs w:val="0"/>
          <w:smallCaps w:val="0"/>
          <w:snapToGrid w:val="0"/>
          <w:u w:val="single"/>
        </w:rPr>
      </w:pPr>
      <w:r>
        <w:rPr>
          <w:rFonts w:ascii="Times New Roman" w:hAnsi="Times New Roman" w:cs="Times New Roman"/>
          <w:b w:val="0"/>
          <w:bCs w:val="0"/>
          <w:smallCaps w:val="0"/>
        </w:rPr>
        <w:t>Zadavatel si vyhrazuje povinnou účast projektanta na kontrolních dnech v průběhu zpracování všech stupňů projektové dokumentace  s maximální četností 1x za 14 dnů  a následně i povinnost účasti autorského dozoru v průběhu realizace stavby na základě později uzavřené smlouvy o výkonu AD.</w:t>
      </w:r>
    </w:p>
    <w:p w:rsidR="00C74CF6" w:rsidRDefault="00C74CF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b w:val="0"/>
          <w:bCs w:val="0"/>
          <w:smallCaps w:val="0"/>
          <w:snapToGrid w:val="0"/>
          <w:sz w:val="24"/>
          <w:szCs w:val="24"/>
          <w:lang w:eastAsia="cs-CZ"/>
        </w:rPr>
        <w:t xml:space="preserve">                                                                </w:t>
      </w:r>
    </w:p>
    <w:sectPr w:rsidR="00C74CF6" w:rsidSect="00C74CF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456"/>
    <w:multiLevelType w:val="hybridMultilevel"/>
    <w:tmpl w:val="0EA88BC2"/>
    <w:lvl w:ilvl="0" w:tplc="EA544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>
    <w:nsid w:val="02E70ABD"/>
    <w:multiLevelType w:val="hybridMultilevel"/>
    <w:tmpl w:val="5ADAB74E"/>
    <w:lvl w:ilvl="0" w:tplc="EA544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>
    <w:nsid w:val="08CB76F0"/>
    <w:multiLevelType w:val="hybridMultilevel"/>
    <w:tmpl w:val="49083D3E"/>
    <w:lvl w:ilvl="0" w:tplc="EA544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>
    <w:nsid w:val="092D30D8"/>
    <w:multiLevelType w:val="hybridMultilevel"/>
    <w:tmpl w:val="2C865FB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4">
    <w:nsid w:val="22361903"/>
    <w:multiLevelType w:val="hybridMultilevel"/>
    <w:tmpl w:val="25B27C5A"/>
    <w:lvl w:ilvl="0" w:tplc="E12614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5">
    <w:nsid w:val="24981E5D"/>
    <w:multiLevelType w:val="hybridMultilevel"/>
    <w:tmpl w:val="2BDCEFC6"/>
    <w:lvl w:ilvl="0" w:tplc="EA544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6">
    <w:nsid w:val="44552FE7"/>
    <w:multiLevelType w:val="hybridMultilevel"/>
    <w:tmpl w:val="1ADCE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7">
    <w:nsid w:val="51B0172D"/>
    <w:multiLevelType w:val="hybridMultilevel"/>
    <w:tmpl w:val="BDB662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8">
    <w:nsid w:val="5BD82932"/>
    <w:multiLevelType w:val="hybridMultilevel"/>
    <w:tmpl w:val="5A389D28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9">
    <w:nsid w:val="608518F3"/>
    <w:multiLevelType w:val="hybridMultilevel"/>
    <w:tmpl w:val="90220A4C"/>
    <w:lvl w:ilvl="0" w:tplc="EA544F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0">
    <w:nsid w:val="73461C06"/>
    <w:multiLevelType w:val="hybridMultilevel"/>
    <w:tmpl w:val="9E827A1E"/>
    <w:lvl w:ilvl="0" w:tplc="3E7A57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CF6"/>
    <w:rsid w:val="00C7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b/>
      <w:bCs/>
      <w:smallCaps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kern w:val="36"/>
      <w:sz w:val="38"/>
      <w:szCs w:val="38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hd w:val="clear" w:color="auto" w:fill="FFFFFF"/>
      <w:spacing w:after="0" w:line="240" w:lineRule="auto"/>
      <w:outlineLvl w:val="1"/>
    </w:pPr>
    <w:rPr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hd w:val="clear" w:color="auto" w:fill="FFFFFF"/>
      <w:spacing w:after="0" w:line="240" w:lineRule="auto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clear" w:color="auto" w:fill="FFFFFF"/>
      <w:spacing w:after="120" w:line="240" w:lineRule="auto"/>
      <w:jc w:val="center"/>
      <w:outlineLvl w:val="3"/>
    </w:pPr>
    <w:rPr>
      <w:kern w:val="36"/>
      <w:sz w:val="28"/>
      <w:szCs w:val="28"/>
      <w:u w:val="single"/>
      <w:lang w:eastAsia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snapToGrid w:val="0"/>
      <w:color w:val="auto"/>
      <w:kern w:val="36"/>
      <w:sz w:val="38"/>
      <w:szCs w:val="3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smallCaps/>
      <w:snapToGrid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smallCaps/>
      <w:snapToGrid w:val="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snapToGrid w:val="0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snapToGrid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pPr>
      <w:spacing w:before="240" w:after="240" w:line="240" w:lineRule="auto"/>
    </w:pPr>
    <w:rPr>
      <w:sz w:val="24"/>
      <w:szCs w:val="24"/>
      <w:lang w:eastAsia="cs-CZ"/>
    </w:rPr>
  </w:style>
  <w:style w:type="paragraph" w:styleId="NoSpacing">
    <w:name w:val="No Spacing"/>
    <w:uiPriority w:val="99"/>
    <w:qFormat/>
    <w:rPr>
      <w:rFonts w:ascii="Calibri" w:hAnsi="Calibri" w:cs="Calibri"/>
      <w:b/>
      <w:bCs/>
      <w:smallCaps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b/>
      <w:bCs/>
      <w:smallCaps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link w:val="TitleChar"/>
    <w:uiPriority w:val="99"/>
    <w:qFormat/>
    <w:pPr>
      <w:shd w:val="clear" w:color="auto" w:fill="FFFFFF"/>
      <w:spacing w:after="120" w:line="240" w:lineRule="auto"/>
      <w:jc w:val="center"/>
      <w:outlineLvl w:val="0"/>
    </w:pPr>
    <w:rPr>
      <w:kern w:val="36"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mallCaps/>
      <w:snapToGrid w:val="0"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after="120" w:line="240" w:lineRule="auto"/>
      <w:jc w:val="both"/>
      <w:outlineLvl w:val="0"/>
    </w:pPr>
    <w:rPr>
      <w:kern w:val="36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b/>
      <w:bCs/>
      <w:smallCaps/>
      <w:snapToGrid w:val="0"/>
      <w:lang w:eastAsia="en-US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  <w:b w:val="0"/>
      <w:bCs w:val="0"/>
      <w:i/>
      <w:iCs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napToGrid w:val="0"/>
      <w:sz w:val="2"/>
      <w:szCs w:val="2"/>
      <w:lang w:eastAsia="en-U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snapToGrid w:val="0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shd w:val="clear" w:color="auto" w:fill="FFFFFF"/>
      <w:spacing w:after="0" w:line="240" w:lineRule="auto"/>
      <w:jc w:val="both"/>
    </w:pPr>
    <w:rPr>
      <w:b w:val="0"/>
      <w:bCs w:val="0"/>
      <w:smallCaps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b/>
      <w:bCs/>
      <w:smallCaps/>
      <w:snapToGrid w:val="0"/>
      <w:lang w:eastAsia="en-US"/>
    </w:rPr>
  </w:style>
  <w:style w:type="character" w:customStyle="1" w:styleId="ktykontaktnazev">
    <w:name w:val="kty_kontakt_nazev"/>
    <w:basedOn w:val="DefaultParagraphFont"/>
    <w:uiPriority w:val="99"/>
    <w:rPr>
      <w:rFonts w:ascii="Times New Roman" w:hAnsi="Times New Roman" w:cs="Times New Roman"/>
    </w:rPr>
  </w:style>
  <w:style w:type="character" w:customStyle="1" w:styleId="ktykontakthodnota">
    <w:name w:val="kty_kontakt_hodnota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797</Words>
  <Characters>4548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Uživatel</dc:creator>
  <cp:keywords/>
  <dc:description/>
  <cp:lastModifiedBy>Dušan Perník</cp:lastModifiedBy>
  <cp:revision>8</cp:revision>
  <cp:lastPrinted>2017-06-27T11:24:00Z</cp:lastPrinted>
  <dcterms:created xsi:type="dcterms:W3CDTF">2017-07-05T10:22:00Z</dcterms:created>
  <dcterms:modified xsi:type="dcterms:W3CDTF">2017-07-05T14:46:00Z</dcterms:modified>
</cp:coreProperties>
</file>